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11"/>
        <w:gridCol w:w="5909"/>
      </w:tblGrid>
      <w:tr w:rsidR="004331F4"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31F4" w:rsidRDefault="00326878">
            <w:pPr>
              <w:pStyle w:val="Nadpispspvku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47825" cy="4476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1F4" w:rsidRDefault="00326878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MoodleMoot.cz 2014</w:t>
            </w:r>
          </w:p>
          <w:p w:rsidR="004331F4" w:rsidRDefault="0032687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Consulting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4331F4" w:rsidRDefault="0032687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ČZU v Praze</w:t>
            </w:r>
          </w:p>
          <w:p w:rsidR="004331F4" w:rsidRDefault="004331F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331F4" w:rsidRDefault="0032687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  - 24. 6. 2014</w:t>
            </w:r>
          </w:p>
          <w:p w:rsidR="004331F4" w:rsidRDefault="0032687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Praha</w:t>
            </w:r>
          </w:p>
          <w:p w:rsidR="004331F4" w:rsidRDefault="004331F4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31F4" w:rsidRDefault="00326878">
            <w:pPr>
              <w:pStyle w:val="Nadpispspvk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Nástroje umožňující </w:t>
            </w:r>
            <w:proofErr w:type="spellStart"/>
            <w:r>
              <w:rPr>
                <w:rFonts w:ascii="Calibri" w:hAnsi="Calibri" w:cs="Calibri"/>
              </w:rPr>
              <w:t>kolaborativní</w:t>
            </w:r>
            <w:proofErr w:type="spellEnd"/>
            <w:r>
              <w:rPr>
                <w:rFonts w:ascii="Calibri" w:hAnsi="Calibri" w:cs="Calibri"/>
              </w:rPr>
              <w:t xml:space="preserve"> práci v LMS </w:t>
            </w:r>
            <w:proofErr w:type="spellStart"/>
            <w:r>
              <w:rPr>
                <w:rFonts w:ascii="Calibri" w:hAnsi="Calibri" w:cs="Calibri"/>
              </w:rPr>
              <w:t>Moodle</w:t>
            </w:r>
            <w:proofErr w:type="spellEnd"/>
            <w:r>
              <w:rPr>
                <w:rFonts w:ascii="Calibri" w:hAnsi="Calibri" w:cs="Calibri"/>
              </w:rPr>
              <w:t xml:space="preserve"> a jejich adaptace v univerzitním prostředí</w:t>
            </w:r>
          </w:p>
          <w:p w:rsidR="004331F4" w:rsidRDefault="00326878">
            <w:pPr>
              <w:spacing w:after="240"/>
              <w:jc w:val="center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</w:rPr>
              <w:t>Jakub Trojan</w:t>
            </w:r>
            <w:r>
              <w:rPr>
                <w:rFonts w:ascii="Calibri" w:hAnsi="Calibri" w:cs="Calibri"/>
                <w:b/>
                <w:vertAlign w:val="superscript"/>
              </w:rPr>
              <w:t>1</w:t>
            </w:r>
            <w:r>
              <w:rPr>
                <w:rFonts w:ascii="Calibri" w:hAnsi="Calibri" w:cs="Calibri"/>
                <w:b/>
              </w:rPr>
              <w:t>, Jan Trávníček</w:t>
            </w:r>
            <w:r>
              <w:rPr>
                <w:rFonts w:ascii="Calibri" w:hAnsi="Calibri" w:cs="Calibri"/>
                <w:b/>
                <w:vertAlign w:val="superscript"/>
              </w:rPr>
              <w:t>2</w:t>
            </w:r>
          </w:p>
          <w:p w:rsidR="004331F4" w:rsidRPr="00C57702" w:rsidRDefault="003268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7702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 w:rsidRPr="00C57702">
              <w:rPr>
                <w:rFonts w:ascii="Calibri" w:hAnsi="Calibri" w:cs="Calibri"/>
                <w:sz w:val="16"/>
                <w:szCs w:val="16"/>
              </w:rPr>
              <w:t xml:space="preserve"> Univerzita Tomáše Bati ve Zlíně </w:t>
            </w:r>
          </w:p>
          <w:p w:rsidR="004331F4" w:rsidRPr="00C57702" w:rsidRDefault="003268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7702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Pr="00C57702">
              <w:rPr>
                <w:rFonts w:ascii="Calibri" w:hAnsi="Calibri" w:cs="Calibri"/>
                <w:sz w:val="16"/>
                <w:szCs w:val="16"/>
              </w:rPr>
              <w:t>Lipka – školské zařízení pro environmentální vzdělávání</w:t>
            </w:r>
          </w:p>
          <w:p w:rsidR="004331F4" w:rsidRPr="0093042C" w:rsidRDefault="003268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3042C">
              <w:rPr>
                <w:rFonts w:ascii="Calibri" w:hAnsi="Calibri" w:cs="Calibri"/>
                <w:sz w:val="16"/>
                <w:szCs w:val="16"/>
              </w:rPr>
              <w:t>trojan@flkr.utb.cz</w:t>
            </w:r>
            <w:r w:rsidR="00C57702" w:rsidRPr="0093042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331F4" w:rsidRPr="0093042C" w:rsidRDefault="00C577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3042C">
              <w:rPr>
                <w:rFonts w:ascii="Calibri" w:hAnsi="Calibri" w:cs="Calibri"/>
                <w:sz w:val="16"/>
                <w:szCs w:val="16"/>
              </w:rPr>
              <w:t xml:space="preserve">jan.travnicek@lipka.cz </w:t>
            </w:r>
          </w:p>
          <w:p w:rsidR="004331F4" w:rsidRDefault="004331F4">
            <w:pPr>
              <w:pStyle w:val="E-mail"/>
              <w:spacing w:after="0"/>
              <w:rPr>
                <w:rFonts w:ascii="Calibri" w:hAnsi="Calibri" w:cs="Calibri"/>
              </w:rPr>
            </w:pPr>
          </w:p>
        </w:tc>
      </w:tr>
    </w:tbl>
    <w:p w:rsidR="004331F4" w:rsidRDefault="004331F4">
      <w:pPr>
        <w:pStyle w:val="Abstrakt"/>
        <w:rPr>
          <w:rFonts w:ascii="Calibri" w:hAnsi="Calibri" w:cs="Calibri"/>
        </w:rPr>
      </w:pPr>
    </w:p>
    <w:p w:rsidR="004331F4" w:rsidRDefault="00326878">
      <w:pPr>
        <w:pStyle w:val="Abstrakt"/>
        <w:rPr>
          <w:rFonts w:ascii="Calibri" w:hAnsi="Calibri" w:cs="Calibri"/>
          <w:i/>
        </w:rPr>
      </w:pPr>
      <w:r>
        <w:rPr>
          <w:rStyle w:val="StylAbstraktTunChar"/>
          <w:rFonts w:ascii="Calibri" w:hAnsi="Calibri" w:cs="Calibri"/>
          <w:i/>
        </w:rPr>
        <w:t>Abstrakt:</w:t>
      </w:r>
      <w:r>
        <w:rPr>
          <w:rFonts w:ascii="Calibri" w:hAnsi="Calibri" w:cs="Calibri"/>
          <w:i/>
        </w:rPr>
        <w:t xml:space="preserve"> Příspěvek reflektuje rostoucí zájem o </w:t>
      </w:r>
      <w:proofErr w:type="spellStart"/>
      <w:r>
        <w:rPr>
          <w:rFonts w:ascii="Calibri" w:hAnsi="Calibri" w:cs="Calibri"/>
          <w:i/>
        </w:rPr>
        <w:t>learning</w:t>
      </w:r>
      <w:proofErr w:type="spellEnd"/>
      <w:r>
        <w:rPr>
          <w:rFonts w:ascii="Calibri" w:hAnsi="Calibri" w:cs="Calibri"/>
          <w:i/>
        </w:rPr>
        <w:t xml:space="preserve"> management systémy (LMS) pramenící z jejich zvyšující se popularity a na příkladu univerzitního pracoviště demonstruje využití i mimo oblast pedagogického procesu. Právě nasazení LMS i do jiných než vzdělávacích oblastí sbližuje funkcionalitu s jinými systémy, které nejsou primárně pro vzdělávání určeny (např. redakční systémy, systémy pro správu projektů a kolaboraci uživatelů v reálném čase). Zohlednění modulů nesoucích prvky </w:t>
      </w:r>
      <w:proofErr w:type="spellStart"/>
      <w:r>
        <w:rPr>
          <w:rFonts w:ascii="Calibri" w:hAnsi="Calibri" w:cs="Calibri"/>
          <w:i/>
        </w:rPr>
        <w:t>kolaborativní</w:t>
      </w:r>
      <w:proofErr w:type="spellEnd"/>
      <w:r>
        <w:rPr>
          <w:rFonts w:ascii="Calibri" w:hAnsi="Calibri" w:cs="Calibri"/>
          <w:i/>
        </w:rPr>
        <w:t xml:space="preserve"> práce uživatelů pak upozorňuje na funkční přesahy a možnosti jejich využití při efektivní participaci sledující společný výstup při týmové práci. Případová studie demonstruje posun v používání LMS do roviny informačního systému fungujícího coby platforma pro síťování školských zařízení.</w:t>
      </w:r>
    </w:p>
    <w:p w:rsidR="004331F4" w:rsidRDefault="00326878">
      <w:pPr>
        <w:pStyle w:val="Abstrakt"/>
        <w:rPr>
          <w:rFonts w:ascii="Calibri" w:hAnsi="Calibri" w:cs="Calibri"/>
          <w:i/>
        </w:rPr>
      </w:pPr>
      <w:r>
        <w:rPr>
          <w:rStyle w:val="StylKlovslovaTunChar"/>
          <w:rFonts w:ascii="Calibri" w:hAnsi="Calibri" w:cs="Calibri"/>
          <w:i/>
        </w:rPr>
        <w:t>Klíčová slova:</w:t>
      </w:r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kolaborativní</w:t>
      </w:r>
      <w:proofErr w:type="spellEnd"/>
      <w:r>
        <w:rPr>
          <w:rFonts w:ascii="Calibri" w:hAnsi="Calibri" w:cs="Calibri"/>
          <w:i/>
        </w:rPr>
        <w:t xml:space="preserve"> práce, adaptace, participace, modularita, MOODLE</w:t>
      </w:r>
    </w:p>
    <w:p w:rsidR="004331F4" w:rsidRDefault="00326878">
      <w:pPr>
        <w:pStyle w:val="Klovslova"/>
        <w:rPr>
          <w:rStyle w:val="AbstraktChar"/>
          <w:rFonts w:ascii="Calibri" w:hAnsi="Calibri" w:cs="Calibri"/>
          <w:i/>
          <w:iCs/>
        </w:rPr>
      </w:pPr>
      <w:proofErr w:type="spellStart"/>
      <w:r>
        <w:rPr>
          <w:rStyle w:val="StylAbstraktTunChar"/>
          <w:rFonts w:ascii="Calibri" w:hAnsi="Calibri" w:cs="Calibri"/>
          <w:i/>
        </w:rPr>
        <w:t>Abstract</w:t>
      </w:r>
      <w:proofErr w:type="spellEnd"/>
      <w:r>
        <w:rPr>
          <w:rStyle w:val="StylAbstraktTunChar"/>
          <w:rFonts w:ascii="Calibri" w:hAnsi="Calibri" w:cs="Calibri"/>
          <w:i/>
        </w:rPr>
        <w:t>:</w:t>
      </w:r>
      <w:r>
        <w:rPr>
          <w:rFonts w:ascii="Calibri" w:hAnsi="Calibri" w:cs="Calibri"/>
          <w:i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paper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reflects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growing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interest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in </w:t>
      </w:r>
      <w:proofErr w:type="spellStart"/>
      <w:r>
        <w:rPr>
          <w:rStyle w:val="AbstraktChar"/>
          <w:rFonts w:ascii="Calibri" w:hAnsi="Calibri" w:cs="Calibri"/>
          <w:i/>
          <w:iCs/>
        </w:rPr>
        <w:t>learning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management </w:t>
      </w:r>
      <w:proofErr w:type="spellStart"/>
      <w:r>
        <w:rPr>
          <w:rStyle w:val="AbstraktChar"/>
          <w:rFonts w:ascii="Calibri" w:hAnsi="Calibri" w:cs="Calibri"/>
          <w:i/>
          <w:iCs/>
        </w:rPr>
        <w:t>systems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(LMS ) </w:t>
      </w:r>
      <w:proofErr w:type="spellStart"/>
      <w:r>
        <w:rPr>
          <w:rStyle w:val="AbstraktChar"/>
          <w:rFonts w:ascii="Calibri" w:hAnsi="Calibri" w:cs="Calibri"/>
          <w:i/>
          <w:iCs/>
        </w:rPr>
        <w:t>because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their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increasing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popularity. </w:t>
      </w:r>
      <w:proofErr w:type="spellStart"/>
      <w:r>
        <w:rPr>
          <w:rStyle w:val="AbstraktChar"/>
          <w:rFonts w:ascii="Calibri" w:hAnsi="Calibri" w:cs="Calibri"/>
          <w:i/>
          <w:iCs/>
        </w:rPr>
        <w:t>It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demonstrates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use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LMS </w:t>
      </w:r>
      <w:proofErr w:type="spellStart"/>
      <w:r>
        <w:rPr>
          <w:rStyle w:val="AbstraktChar"/>
          <w:rFonts w:ascii="Calibri" w:hAnsi="Calibri" w:cs="Calibri"/>
          <w:i/>
          <w:iCs/>
        </w:rPr>
        <w:t>outside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educational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process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at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university. </w:t>
      </w:r>
      <w:proofErr w:type="spellStart"/>
      <w:r>
        <w:rPr>
          <w:rStyle w:val="AbstraktChar"/>
          <w:rFonts w:ascii="Calibri" w:hAnsi="Calibri" w:cs="Calibri"/>
          <w:i/>
          <w:iCs/>
        </w:rPr>
        <w:t>Nowadays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, LMS </w:t>
      </w:r>
      <w:proofErr w:type="spellStart"/>
      <w:r>
        <w:rPr>
          <w:rStyle w:val="AbstraktChar"/>
          <w:rFonts w:ascii="Calibri" w:hAnsi="Calibri" w:cs="Calibri"/>
          <w:i/>
          <w:iCs/>
        </w:rPr>
        <w:t>deployment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to </w:t>
      </w:r>
      <w:proofErr w:type="spellStart"/>
      <w:r>
        <w:rPr>
          <w:rStyle w:val="AbstraktChar"/>
          <w:rFonts w:ascii="Calibri" w:hAnsi="Calibri" w:cs="Calibri"/>
          <w:i/>
          <w:iCs/>
        </w:rPr>
        <w:t>other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areas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education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results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in </w:t>
      </w:r>
      <w:proofErr w:type="spellStart"/>
      <w:r>
        <w:rPr>
          <w:rStyle w:val="AbstraktChar"/>
          <w:rFonts w:ascii="Calibri" w:hAnsi="Calibri" w:cs="Calibri"/>
          <w:i/>
          <w:iCs/>
        </w:rPr>
        <w:t>converging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functionality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with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other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systems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that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are not </w:t>
      </w:r>
      <w:proofErr w:type="spellStart"/>
      <w:r>
        <w:rPr>
          <w:rStyle w:val="AbstraktChar"/>
          <w:rFonts w:ascii="Calibri" w:hAnsi="Calibri" w:cs="Calibri"/>
          <w:i/>
          <w:iCs/>
        </w:rPr>
        <w:t>designed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primarily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for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education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(eg, </w:t>
      </w:r>
      <w:proofErr w:type="spellStart"/>
      <w:r>
        <w:rPr>
          <w:rStyle w:val="AbstraktChar"/>
          <w:rFonts w:ascii="Calibri" w:hAnsi="Calibri" w:cs="Calibri"/>
          <w:i/>
          <w:iCs/>
        </w:rPr>
        <w:t>content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management </w:t>
      </w:r>
      <w:proofErr w:type="spellStart"/>
      <w:r>
        <w:rPr>
          <w:rStyle w:val="AbstraktChar"/>
          <w:rFonts w:ascii="Calibri" w:hAnsi="Calibri" w:cs="Calibri"/>
          <w:i/>
          <w:iCs/>
        </w:rPr>
        <w:t>systems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, </w:t>
      </w:r>
      <w:proofErr w:type="spellStart"/>
      <w:r>
        <w:rPr>
          <w:rStyle w:val="AbstraktChar"/>
          <w:rFonts w:ascii="Calibri" w:hAnsi="Calibri" w:cs="Calibri"/>
          <w:i/>
          <w:iCs/>
        </w:rPr>
        <w:t>project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management and </w:t>
      </w:r>
      <w:proofErr w:type="spellStart"/>
      <w:r>
        <w:rPr>
          <w:rStyle w:val="AbstraktChar"/>
          <w:rFonts w:ascii="Calibri" w:hAnsi="Calibri" w:cs="Calibri"/>
          <w:i/>
          <w:iCs/>
        </w:rPr>
        <w:t>collaboration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users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in </w:t>
      </w:r>
      <w:proofErr w:type="spellStart"/>
      <w:r>
        <w:rPr>
          <w:rStyle w:val="AbstraktChar"/>
          <w:rFonts w:ascii="Calibri" w:hAnsi="Calibri" w:cs="Calibri"/>
          <w:i/>
          <w:iCs/>
        </w:rPr>
        <w:t>real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time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). </w:t>
      </w:r>
      <w:proofErr w:type="spellStart"/>
      <w:r>
        <w:rPr>
          <w:rStyle w:val="AbstraktChar"/>
          <w:rFonts w:ascii="Calibri" w:hAnsi="Calibri" w:cs="Calibri"/>
          <w:i/>
          <w:iCs/>
        </w:rPr>
        <w:t>Modules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carrying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elements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collaborative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work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students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/ </w:t>
      </w:r>
      <w:proofErr w:type="spellStart"/>
      <w:r>
        <w:rPr>
          <w:rStyle w:val="AbstraktChar"/>
          <w:rFonts w:ascii="Calibri" w:hAnsi="Calibri" w:cs="Calibri"/>
          <w:i/>
          <w:iCs/>
        </w:rPr>
        <w:t>users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then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highlight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functional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overlaps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and </w:t>
      </w:r>
      <w:proofErr w:type="spellStart"/>
      <w:r>
        <w:rPr>
          <w:rStyle w:val="AbstraktChar"/>
          <w:rFonts w:ascii="Calibri" w:hAnsi="Calibri" w:cs="Calibri"/>
          <w:i/>
          <w:iCs/>
        </w:rPr>
        <w:t>their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usefulness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for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effective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participation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following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a </w:t>
      </w:r>
      <w:proofErr w:type="spellStart"/>
      <w:r>
        <w:rPr>
          <w:rStyle w:val="AbstraktChar"/>
          <w:rFonts w:ascii="Calibri" w:hAnsi="Calibri" w:cs="Calibri"/>
          <w:i/>
          <w:iCs/>
        </w:rPr>
        <w:t>common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output in team </w:t>
      </w:r>
      <w:proofErr w:type="spellStart"/>
      <w:r>
        <w:rPr>
          <w:rStyle w:val="AbstraktChar"/>
          <w:rFonts w:ascii="Calibri" w:hAnsi="Calibri" w:cs="Calibri"/>
          <w:i/>
          <w:iCs/>
        </w:rPr>
        <w:t>work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. Case Study </w:t>
      </w:r>
      <w:proofErr w:type="spellStart"/>
      <w:r>
        <w:rPr>
          <w:rStyle w:val="AbstraktChar"/>
          <w:rFonts w:ascii="Calibri" w:hAnsi="Calibri" w:cs="Calibri"/>
          <w:i/>
          <w:iCs/>
        </w:rPr>
        <w:t>demonstrates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a shift in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use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LMS in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plane </w:t>
      </w:r>
      <w:proofErr w:type="spellStart"/>
      <w:r>
        <w:rPr>
          <w:rStyle w:val="AbstraktChar"/>
          <w:rFonts w:ascii="Calibri" w:hAnsi="Calibri" w:cs="Calibri"/>
          <w:i/>
          <w:iCs/>
        </w:rPr>
        <w:t>of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the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information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system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serving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as a </w:t>
      </w:r>
      <w:proofErr w:type="spellStart"/>
      <w:r>
        <w:rPr>
          <w:rStyle w:val="AbstraktChar"/>
          <w:rFonts w:ascii="Calibri" w:hAnsi="Calibri" w:cs="Calibri"/>
          <w:i/>
          <w:iCs/>
        </w:rPr>
        <w:t>platform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for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networking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educational</w:t>
      </w:r>
      <w:proofErr w:type="spellEnd"/>
      <w:r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AbstraktChar"/>
          <w:rFonts w:ascii="Calibri" w:hAnsi="Calibri" w:cs="Calibri"/>
          <w:i/>
          <w:iCs/>
        </w:rPr>
        <w:t>institutions</w:t>
      </w:r>
      <w:proofErr w:type="spellEnd"/>
      <w:r>
        <w:rPr>
          <w:rStyle w:val="AbstraktChar"/>
          <w:rFonts w:ascii="Calibri" w:hAnsi="Calibri" w:cs="Calibri"/>
          <w:i/>
          <w:iCs/>
        </w:rPr>
        <w:t>.</w:t>
      </w:r>
    </w:p>
    <w:p w:rsidR="004331F4" w:rsidRDefault="00326878">
      <w:pPr>
        <w:pStyle w:val="Klovslova"/>
        <w:rPr>
          <w:rFonts w:ascii="Calibri" w:hAnsi="Calibri" w:cs="Calibri"/>
          <w:i/>
        </w:rPr>
      </w:pPr>
      <w:r>
        <w:rPr>
          <w:rStyle w:val="StylKlovslovaTunChar"/>
          <w:rFonts w:ascii="Calibri" w:hAnsi="Calibri" w:cs="Calibri"/>
          <w:i/>
          <w:lang w:val="en-US"/>
        </w:rPr>
        <w:t>Keywords:</w:t>
      </w:r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collaborative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work</w:t>
      </w:r>
      <w:proofErr w:type="spellEnd"/>
      <w:r>
        <w:rPr>
          <w:rFonts w:ascii="Calibri" w:hAnsi="Calibri" w:cs="Calibri"/>
          <w:i/>
        </w:rPr>
        <w:t xml:space="preserve">, </w:t>
      </w:r>
      <w:proofErr w:type="spellStart"/>
      <w:r>
        <w:rPr>
          <w:rFonts w:ascii="Calibri" w:hAnsi="Calibri" w:cs="Calibri"/>
          <w:i/>
        </w:rPr>
        <w:t>adaptation</w:t>
      </w:r>
      <w:proofErr w:type="spellEnd"/>
      <w:r>
        <w:rPr>
          <w:rFonts w:ascii="Calibri" w:hAnsi="Calibri" w:cs="Calibri"/>
          <w:i/>
        </w:rPr>
        <w:t xml:space="preserve">, </w:t>
      </w:r>
      <w:proofErr w:type="spellStart"/>
      <w:r>
        <w:rPr>
          <w:rFonts w:ascii="Calibri" w:hAnsi="Calibri" w:cs="Calibri"/>
          <w:i/>
        </w:rPr>
        <w:t>participation</w:t>
      </w:r>
      <w:proofErr w:type="spellEnd"/>
      <w:r>
        <w:rPr>
          <w:rFonts w:ascii="Calibri" w:hAnsi="Calibri" w:cs="Calibri"/>
          <w:i/>
        </w:rPr>
        <w:t>, modularity</w:t>
      </w:r>
      <w:r w:rsidR="008F4882">
        <w:rPr>
          <w:rFonts w:ascii="Calibri" w:hAnsi="Calibri" w:cs="Calibri"/>
          <w:i/>
        </w:rPr>
        <w:t>,</w:t>
      </w:r>
      <w:bookmarkStart w:id="0" w:name="_GoBack"/>
      <w:bookmarkEnd w:id="0"/>
      <w:r>
        <w:rPr>
          <w:rFonts w:ascii="Calibri" w:hAnsi="Calibri" w:cs="Calibri"/>
          <w:i/>
        </w:rPr>
        <w:t xml:space="preserve"> MOODLE</w:t>
      </w:r>
    </w:p>
    <w:p w:rsidR="00326878" w:rsidRPr="00326878" w:rsidRDefault="00326878" w:rsidP="00326878">
      <w:pPr>
        <w:pStyle w:val="Nadpiskapitoly"/>
        <w:numPr>
          <w:ilvl w:val="0"/>
          <w:numId w:val="5"/>
        </w:num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Úvod</w:t>
      </w:r>
    </w:p>
    <w:p w:rsidR="004331F4" w:rsidRDefault="00326878">
      <w:pPr>
        <w:pStyle w:val="Textpspvku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Learning</w:t>
      </w:r>
      <w:proofErr w:type="spellEnd"/>
      <w:r>
        <w:rPr>
          <w:rFonts w:ascii="Calibri" w:hAnsi="Calibri" w:cs="Calibri"/>
        </w:rPr>
        <w:t xml:space="preserve"> Management Systémy (dále jako LMS) patří mezi nástroje, které se osvědčují jako vhodný doplněk pedagogického procesu. Mnohé tuzemské </w:t>
      </w:r>
      <w:r>
        <w:rPr>
          <w:rFonts w:ascii="Calibri" w:hAnsi="Calibri" w:cs="Calibri"/>
          <w:lang w:val="en-US"/>
        </w:rPr>
        <w:t xml:space="preserve">[2]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zahraniční</w:t>
      </w:r>
      <w:r>
        <w:rPr>
          <w:rFonts w:ascii="Calibri" w:hAnsi="Calibri" w:cs="Calibri"/>
          <w:lang w:val="en-US"/>
        </w:rPr>
        <w:t xml:space="preserve"> [1]</w:t>
      </w:r>
      <w:r>
        <w:rPr>
          <w:rFonts w:ascii="Calibri" w:hAnsi="Calibri" w:cs="Calibri"/>
        </w:rPr>
        <w:t xml:space="preserve"> studie dokumentují efektivní nasazení LMS i na pokročilejší úrovni, tedy nejen jako formu publikování prezentací vyučujících či sdílení jiných studijních materiálů. Participace studentů tak zahrnuje nejen reakce na podněty vyučujícího (a naopak), ale umožňuje v reálném čase sdílet informace, vytvářet společné projekty a výstupy a supluje tak mnohdy jiné nástroje typu </w:t>
      </w:r>
      <w:bookmarkStart w:id="1" w:name="__DdeLink__1268_323363400"/>
      <w:proofErr w:type="spellStart"/>
      <w:r>
        <w:rPr>
          <w:rFonts w:ascii="Calibri" w:hAnsi="Calibri" w:cs="Calibri"/>
        </w:rPr>
        <w:t>content</w:t>
      </w:r>
      <w:proofErr w:type="spellEnd"/>
      <w:r>
        <w:rPr>
          <w:rFonts w:ascii="Calibri" w:hAnsi="Calibri" w:cs="Calibri"/>
        </w:rPr>
        <w:t xml:space="preserve"> management </w:t>
      </w:r>
      <w:proofErr w:type="spellStart"/>
      <w:r>
        <w:rPr>
          <w:rFonts w:ascii="Calibri" w:hAnsi="Calibri" w:cs="Calibri"/>
        </w:rPr>
        <w:t>systems</w:t>
      </w:r>
      <w:bookmarkEnd w:id="1"/>
      <w:proofErr w:type="spellEnd"/>
      <w:r>
        <w:rPr>
          <w:rFonts w:ascii="Calibri" w:hAnsi="Calibri" w:cs="Calibri"/>
        </w:rPr>
        <w:t xml:space="preserve"> (dále jako CMS, </w:t>
      </w:r>
      <w:r>
        <w:rPr>
          <w:rFonts w:ascii="Calibri" w:hAnsi="Calibri" w:cs="Calibri"/>
        </w:rPr>
        <w:lastRenderedPageBreak/>
        <w:t xml:space="preserve">jinak také redakční systémy), </w:t>
      </w:r>
      <w:proofErr w:type="spellStart"/>
      <w:r>
        <w:rPr>
          <w:rFonts w:ascii="Calibri" w:hAnsi="Calibri" w:cs="Calibri"/>
        </w:rPr>
        <w:t>enterprise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resource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planning</w:t>
      </w:r>
      <w:proofErr w:type="spellEnd"/>
      <w:r>
        <w:rPr>
          <w:rFonts w:ascii="Calibri" w:hAnsi="Calibri" w:cs="Calibri"/>
        </w:rPr>
        <w:t xml:space="preserve"> (ERP), informační systémy (IS) nebo nástroje projektového managementu. Ačkoliv se idea ohýbání LMS do jiných rovin může zdát zcestným a nesystémovým přístupem, množství funkcionalit v modulárních doplňcích umožňuje postupné sbližování zmíněných systémů. A snaha o utilizaci a jednotnost řešení se v mnohých případech jeví jako optimální (uživatelé využívají jen jeden systém pro různá řešení či úlohy). Příkladem posunu stírajícího rozdíly mezi typy nástrojů může být e-</w:t>
      </w:r>
      <w:proofErr w:type="spellStart"/>
      <w:r>
        <w:rPr>
          <w:rFonts w:ascii="Calibri" w:hAnsi="Calibri" w:cs="Calibri"/>
        </w:rPr>
        <w:t>learningový</w:t>
      </w:r>
      <w:proofErr w:type="spellEnd"/>
      <w:r>
        <w:rPr>
          <w:rFonts w:ascii="Calibri" w:hAnsi="Calibri" w:cs="Calibri"/>
        </w:rPr>
        <w:t xml:space="preserve"> systém </w:t>
      </w:r>
      <w:proofErr w:type="spellStart"/>
      <w:r>
        <w:rPr>
          <w:rFonts w:ascii="Calibri" w:hAnsi="Calibri" w:cs="Calibri"/>
        </w:rPr>
        <w:t>Chamilo</w:t>
      </w:r>
      <w:proofErr w:type="spellEnd"/>
      <w:r>
        <w:rPr>
          <w:rFonts w:ascii="Calibri" w:hAnsi="Calibri" w:cs="Calibri"/>
        </w:rPr>
        <w:t xml:space="preserve">, který již ve svém názvu deklaruje hybridní řešení (a je označován jako LCMS – </w:t>
      </w:r>
      <w:proofErr w:type="spellStart"/>
      <w:r>
        <w:rPr>
          <w:rFonts w:ascii="Calibri" w:hAnsi="Calibri" w:cs="Calibri"/>
        </w:rPr>
        <w:t>learning</w:t>
      </w:r>
      <w:proofErr w:type="spellEnd"/>
      <w:r>
        <w:rPr>
          <w:rFonts w:ascii="Calibri" w:hAnsi="Calibri" w:cs="Calibri"/>
        </w:rPr>
        <w:t xml:space="preserve"> management </w:t>
      </w:r>
      <w:proofErr w:type="spellStart"/>
      <w:r>
        <w:rPr>
          <w:rFonts w:ascii="Calibri" w:hAnsi="Calibri" w:cs="Calibri"/>
        </w:rPr>
        <w:t>collaborative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system</w:t>
      </w:r>
      <w:proofErr w:type="spellEnd"/>
      <w:r>
        <w:rPr>
          <w:rFonts w:ascii="Calibri" w:hAnsi="Calibri" w:cs="Calibri"/>
        </w:rPr>
        <w:t>).</w:t>
      </w:r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Současná téměř nativní schopnost většiny uživatelů pracovat s těmito systémy (nebo alespoň schopnost rychlé adaptace na ně) je pak výsledkem měnícího se přístupu uživatelů k ICT, kteří jsou k práci s těmito nástroji vstřícní [3, případně i 4].</w:t>
      </w:r>
    </w:p>
    <w:p w:rsidR="004331F4" w:rsidRDefault="00326878">
      <w:pPr>
        <w:pStyle w:val="Textpspvku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je v kontextu výše uvedeného používán autory jako modelový příklad rozvoje efektivní participace při </w:t>
      </w: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práci na příkladu univerzitního prostředí. Ačkoliv byly obdobné studie již dříve publikovány [např. 5, 6], představuje příspěvek pohled do současných verzí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(počínaje verzí 2.5) a diskutuje především možnosti jeho modularity.</w:t>
      </w:r>
    </w:p>
    <w:p w:rsidR="004331F4" w:rsidRDefault="00326878" w:rsidP="00326878">
      <w:pPr>
        <w:pStyle w:val="Nadpiskapitoly"/>
        <w:numPr>
          <w:ilvl w:val="0"/>
          <w:numId w:val="5"/>
        </w:num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Nástroje pro </w:t>
      </w:r>
      <w:proofErr w:type="spellStart"/>
      <w:r>
        <w:rPr>
          <w:rFonts w:ascii="Calibri" w:hAnsi="Calibri" w:cs="Calibri"/>
          <w:lang w:val="cs-CZ"/>
        </w:rPr>
        <w:t>kolaborativní</w:t>
      </w:r>
      <w:proofErr w:type="spellEnd"/>
      <w:r>
        <w:rPr>
          <w:rFonts w:ascii="Calibri" w:hAnsi="Calibri" w:cs="Calibri"/>
          <w:lang w:val="cs-CZ"/>
        </w:rPr>
        <w:t xml:space="preserve"> práci v LMS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Standardními nástroji, kterými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disponuje již od raných verzí, jsou aktivity typu diskusního fóra, workshopu, databáze, Wiki, přednášky a dalších. S příchodem možností HTML 5 a s jeho podporou v LMS se začaly prosazovat moduly, které nepotřebují dodatečné doplňky (jako nutnost </w:t>
      </w:r>
      <w:proofErr w:type="spellStart"/>
      <w:r>
        <w:rPr>
          <w:rFonts w:ascii="Calibri" w:hAnsi="Calibri" w:cs="Calibri"/>
        </w:rPr>
        <w:t>flash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playeru</w:t>
      </w:r>
      <w:proofErr w:type="spellEnd"/>
      <w:r>
        <w:rPr>
          <w:rFonts w:ascii="Calibri" w:hAnsi="Calibri" w:cs="Calibri"/>
        </w:rPr>
        <w:t xml:space="preserve">, povoleného </w:t>
      </w:r>
      <w:proofErr w:type="spellStart"/>
      <w:r>
        <w:rPr>
          <w:rFonts w:ascii="Calibri" w:hAnsi="Calibri" w:cs="Calibri"/>
        </w:rPr>
        <w:t>java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scriptu</w:t>
      </w:r>
      <w:proofErr w:type="spellEnd"/>
      <w:r>
        <w:rPr>
          <w:rFonts w:ascii="Calibri" w:hAnsi="Calibri" w:cs="Calibri"/>
        </w:rPr>
        <w:t xml:space="preserve"> a dalších závislých řešení). Stejně tak roste nabídka multimediálních komponent, které funkcionalitu LMS posouvají k CMS nebo dokonce CRM (</w:t>
      </w:r>
      <w:r>
        <w:rPr>
          <w:rFonts w:ascii="Calibri" w:hAnsi="Calibri" w:cs="Calibri"/>
          <w:lang w:val="en-US"/>
        </w:rPr>
        <w:t>customer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relationship</w:t>
      </w:r>
      <w:r>
        <w:rPr>
          <w:rFonts w:ascii="Calibri" w:hAnsi="Calibri" w:cs="Calibri"/>
        </w:rPr>
        <w:t xml:space="preserve"> management), případně k charakteristikám SW zaměřeného na projektový management (např. Moduly </w:t>
      </w:r>
      <w:proofErr w:type="spellStart"/>
      <w:r>
        <w:rPr>
          <w:rFonts w:ascii="Calibri" w:hAnsi="Calibri" w:cs="Calibri"/>
        </w:rPr>
        <w:t>DesignProject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Technical</w:t>
      </w:r>
      <w:proofErr w:type="spellEnd"/>
      <w:r>
        <w:rPr>
          <w:rFonts w:ascii="Calibri" w:hAnsi="Calibri" w:cs="Calibri"/>
        </w:rPr>
        <w:t xml:space="preserve"> Project a dále diskutovaný </w:t>
      </w:r>
      <w:proofErr w:type="spellStart"/>
      <w:r>
        <w:rPr>
          <w:rFonts w:ascii="Calibri" w:hAnsi="Calibri" w:cs="Calibri"/>
        </w:rPr>
        <w:t>BigBlueButton</w:t>
      </w:r>
      <w:proofErr w:type="spellEnd"/>
      <w:r>
        <w:rPr>
          <w:rFonts w:ascii="Calibri" w:hAnsi="Calibri" w:cs="Calibri"/>
        </w:rPr>
        <w:t xml:space="preserve">). Přijmeme-li předpoklad, že v univerzitním prostředí a ve vzdělávacím systému obecně je primární využití LMS při elektronické podpoře výuky, lze nástroje </w:t>
      </w: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práce použít jako doplněk pro zkvalitnění samotného pedagogického procesu nebo jako zefektivnění rutinních činností či aktivit doposud realizovaných jinými nástroji (např. konzultace, plánování atp.).</w:t>
      </w:r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Typickým rozšířením spektra využití LMS jsou moduly zaměřené na videokonferenční výuku. S jejich využitím lze i v distanční formě studia konzultovat se studenty projekty a seminární práce, efektivně realizovat konzultace s více uživateli najednou a řešit i případnou nepřítomnost vyučujícího. Přemostěním do systémů projektového managementu je pak realizace porad (zejména u mezinárodních projektů či při rozsáhlých řešitelských týmech), v rámci redakčních systémů pak využití </w:t>
      </w:r>
      <w:proofErr w:type="spellStart"/>
      <w:r>
        <w:rPr>
          <w:rFonts w:ascii="Calibri" w:hAnsi="Calibri" w:cs="Calibri"/>
        </w:rPr>
        <w:t>webinářů</w:t>
      </w:r>
      <w:proofErr w:type="spellEnd"/>
      <w:r>
        <w:rPr>
          <w:rFonts w:ascii="Calibri" w:hAnsi="Calibri" w:cs="Calibri"/>
        </w:rPr>
        <w:t xml:space="preserve"> nebo atypických forem </w:t>
      </w:r>
      <w:proofErr w:type="spellStart"/>
      <w:r>
        <w:rPr>
          <w:rFonts w:ascii="Calibri" w:hAnsi="Calibri" w:cs="Calibri"/>
        </w:rPr>
        <w:t>podcastů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videocastů</w:t>
      </w:r>
      <w:proofErr w:type="spellEnd"/>
      <w:r>
        <w:rPr>
          <w:rFonts w:ascii="Calibri" w:hAnsi="Calibri" w:cs="Calibri"/>
        </w:rPr>
        <w:t xml:space="preserve">. Ověřeným modulem, který je mimo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často integrován i do jiných LMS a který splňuje výše uvedené, je </w:t>
      </w:r>
      <w:proofErr w:type="spellStart"/>
      <w:r>
        <w:rPr>
          <w:rFonts w:ascii="Calibri" w:hAnsi="Calibri" w:cs="Calibri"/>
        </w:rPr>
        <w:t>BigBlueButton</w:t>
      </w:r>
      <w:proofErr w:type="spellEnd"/>
      <w:r>
        <w:rPr>
          <w:rFonts w:ascii="Calibri" w:hAnsi="Calibri" w:cs="Calibri"/>
        </w:rPr>
        <w:t xml:space="preserve">. Na Obr. 1 je příklad použití tohoto modulu coby nástroje pro virtuální třídu – typicky pro studenty, pro které není předepsána prezenční výuka a kteří </w:t>
      </w:r>
      <w:r>
        <w:rPr>
          <w:rFonts w:ascii="Calibri" w:hAnsi="Calibri" w:cs="Calibri"/>
        </w:rPr>
        <w:lastRenderedPageBreak/>
        <w:t>absolvují přednášky/konzultují online. Modul přenáší zvuk i obraz a umožňuje používat komentované prezentace, případně do nich i provádět zásahy.</w:t>
      </w:r>
    </w:p>
    <w:p w:rsidR="004331F4" w:rsidRDefault="00326878">
      <w:pPr>
        <w:pStyle w:val="Textpspvku"/>
        <w:jc w:val="center"/>
      </w:pPr>
      <w:r>
        <w:rPr>
          <w:noProof/>
          <w:lang w:eastAsia="cs-CZ"/>
        </w:rPr>
        <w:drawing>
          <wp:inline distT="0" distB="0" distL="0" distR="0">
            <wp:extent cx="3124200" cy="12096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F4" w:rsidRDefault="00326878">
      <w:pPr>
        <w:pStyle w:val="Popisobrzku"/>
        <w:rPr>
          <w:rFonts w:ascii="Calibri" w:hAnsi="Calibri" w:cs="Calibri"/>
          <w:lang w:val="cs-CZ"/>
        </w:rPr>
      </w:pPr>
      <w:r>
        <w:rPr>
          <w:rStyle w:val="StylPopisobrzkuChar"/>
          <w:rFonts w:ascii="Calibri" w:hAnsi="Calibri" w:cs="Calibri"/>
          <w:lang w:val="cs-CZ"/>
        </w:rPr>
        <w:t>Obr. 1</w:t>
      </w:r>
      <w:r>
        <w:rPr>
          <w:rFonts w:ascii="Calibri" w:hAnsi="Calibri" w:cs="Calibri"/>
          <w:lang w:val="cs-CZ"/>
        </w:rPr>
        <w:t xml:space="preserve"> Využití modulu </w:t>
      </w:r>
      <w:proofErr w:type="spellStart"/>
      <w:r>
        <w:rPr>
          <w:rFonts w:ascii="Calibri" w:hAnsi="Calibri" w:cs="Calibri"/>
          <w:lang w:val="cs-CZ"/>
        </w:rPr>
        <w:t>BigBluebButton</w:t>
      </w:r>
      <w:proofErr w:type="spellEnd"/>
      <w:r>
        <w:rPr>
          <w:rFonts w:ascii="Calibri" w:hAnsi="Calibri" w:cs="Calibri"/>
          <w:lang w:val="cs-CZ"/>
        </w:rPr>
        <w:t xml:space="preserve">, výstřižek ze stránky kurzu v LMS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  <w:r>
        <w:rPr>
          <w:rFonts w:ascii="Calibri" w:hAnsi="Calibri" w:cs="Calibri"/>
          <w:lang w:val="cs-CZ"/>
        </w:rPr>
        <w:t>.</w:t>
      </w:r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Vhodným nástrojem </w:t>
      </w: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práce je i standardně přítomný modul workshopu, databáze a Wiki. Zatímco workshop je primárně určen k aktivnímu zapojení studentů (proces zpětného hodnocení na bázi peer-to-peer </w:t>
      </w:r>
      <w:proofErr w:type="spellStart"/>
      <w:r>
        <w:rPr>
          <w:rFonts w:ascii="Calibri" w:hAnsi="Calibri" w:cs="Calibri"/>
        </w:rPr>
        <w:t>review</w:t>
      </w:r>
      <w:proofErr w:type="spellEnd"/>
      <w:r>
        <w:rPr>
          <w:rFonts w:ascii="Calibri" w:hAnsi="Calibri" w:cs="Calibri"/>
        </w:rPr>
        <w:t xml:space="preserve">), databáze využívá jiné logiky ke sdílení materiálů. Na rozdíl od </w:t>
      </w:r>
      <w:proofErr w:type="spellStart"/>
      <w:r>
        <w:rPr>
          <w:rFonts w:ascii="Calibri" w:hAnsi="Calibri" w:cs="Calibri"/>
        </w:rPr>
        <w:t>odevzdáváren</w:t>
      </w:r>
      <w:proofErr w:type="spellEnd"/>
      <w:r>
        <w:rPr>
          <w:rFonts w:ascii="Calibri" w:hAnsi="Calibri" w:cs="Calibri"/>
        </w:rPr>
        <w:t xml:space="preserve"> je zde umožňován přístup všem zúčastněním studentům. Zpětnou vazbu poskytuje zpravidla uživatel s právem učitele. Modul reflektující principy </w:t>
      </w: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tvorby na bázi Wiki je vhodný při tvorbě společných projektů a portfolií studentů, hodnocení ze strany vyučujícího i ze strany studentů je však již limitováno.</w:t>
      </w:r>
    </w:p>
    <w:p w:rsidR="004331F4" w:rsidRDefault="00326878" w:rsidP="00326878">
      <w:pPr>
        <w:pStyle w:val="Nadpiskapitoly"/>
        <w:numPr>
          <w:ilvl w:val="0"/>
          <w:numId w:val="5"/>
        </w:num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Adaptabilní nástroje v LMS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Zvýšení uživatelského komfortu a snadnějšího přístupu k LMS lze zabezpečit mnohými způsoby, z nichž standardní je tzv. </w:t>
      </w:r>
      <w:proofErr w:type="spellStart"/>
      <w:r>
        <w:rPr>
          <w:rFonts w:ascii="Calibri" w:hAnsi="Calibri" w:cs="Calibri"/>
        </w:rPr>
        <w:t>customizace</w:t>
      </w:r>
      <w:proofErr w:type="spellEnd"/>
      <w:r>
        <w:rPr>
          <w:rFonts w:ascii="Calibri" w:hAnsi="Calibri" w:cs="Calibri"/>
        </w:rPr>
        <w:t xml:space="preserve">, tedy přizpůsobení uživatelského rozhraní (GUI – </w:t>
      </w:r>
      <w:proofErr w:type="spellStart"/>
      <w:r>
        <w:rPr>
          <w:rFonts w:ascii="Calibri" w:hAnsi="Calibri" w:cs="Calibri"/>
        </w:rPr>
        <w:t>graphical</w:t>
      </w:r>
      <w:proofErr w:type="spellEnd"/>
      <w:r>
        <w:rPr>
          <w:rFonts w:ascii="Calibri" w:hAnsi="Calibri" w:cs="Calibri"/>
        </w:rPr>
        <w:t xml:space="preserve"> user interface). Optimalizace je nezbytná zejména s rostoucí penetrací mobilních zobrazovacích zařízení. Pro administrátory existující mobilní aplikace (podporující zatím platformy </w:t>
      </w:r>
      <w:proofErr w:type="spellStart"/>
      <w:r>
        <w:rPr>
          <w:rFonts w:ascii="Calibri" w:hAnsi="Calibri" w:cs="Calibri"/>
        </w:rPr>
        <w:t>iOS</w:t>
      </w:r>
      <w:proofErr w:type="spellEnd"/>
      <w:r>
        <w:rPr>
          <w:rFonts w:ascii="Calibri" w:hAnsi="Calibri" w:cs="Calibri"/>
        </w:rPr>
        <w:t xml:space="preserve"> a Android) doplňuje možnosti změny GUI implementované do systému s detekcí prohlížeče, resp. použitého zobrazovacího zařízení. </w:t>
      </w:r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Systémy autentizace uživatelů, standardně začínající na úrovni registrace přes možnosti propojení s LDAP apod., se v současné době přibližují trendům založeným na sdílení uživatelských informací s populárními sociálními sítěmi typu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Twitter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LinkedIn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Instagram</w:t>
      </w:r>
      <w:proofErr w:type="spellEnd"/>
      <w:r>
        <w:rPr>
          <w:rFonts w:ascii="Calibri" w:hAnsi="Calibri" w:cs="Calibri"/>
        </w:rPr>
        <w:t xml:space="preserve"> apod. Kombinace maximální flexibility GUI v závislosti na použitém zobrazovacím zařízení, možnosti logování prostřednictvím existujících účtů sociálních sítí a pružnost aplikace využívající komponenty HTM 5 přivádí k používání stále větší množství uživatelů. To klade nárok i na vývojáře doplňků a obecně i </w:t>
      </w:r>
      <w:proofErr w:type="spellStart"/>
      <w:r>
        <w:rPr>
          <w:rFonts w:ascii="Calibri" w:hAnsi="Calibri" w:cs="Calibri"/>
          <w:i/>
        </w:rPr>
        <w:t>core</w:t>
      </w:r>
      <w:proofErr w:type="spellEnd"/>
      <w:r>
        <w:rPr>
          <w:rFonts w:ascii="Calibri" w:hAnsi="Calibri" w:cs="Calibri"/>
          <w:i/>
        </w:rPr>
        <w:t xml:space="preserve"> developery</w:t>
      </w:r>
      <w:r>
        <w:rPr>
          <w:rFonts w:ascii="Calibri" w:hAnsi="Calibri" w:cs="Calibri"/>
        </w:rPr>
        <w:t xml:space="preserve"> LMS. Technologické novinky, byť svojí inovativností respektují </w:t>
      </w:r>
      <w:proofErr w:type="spellStart"/>
      <w:r>
        <w:rPr>
          <w:rFonts w:ascii="Calibri" w:hAnsi="Calibri" w:cs="Calibri"/>
        </w:rPr>
        <w:t>mainstream</w:t>
      </w:r>
      <w:proofErr w:type="spellEnd"/>
      <w:r>
        <w:rPr>
          <w:rFonts w:ascii="Calibri" w:hAnsi="Calibri" w:cs="Calibri"/>
        </w:rPr>
        <w:t xml:space="preserve"> současného poznání v oblasti e-</w:t>
      </w:r>
      <w:proofErr w:type="spellStart"/>
      <w:r>
        <w:rPr>
          <w:rFonts w:ascii="Calibri" w:hAnsi="Calibri" w:cs="Calibri"/>
        </w:rPr>
        <w:t>learningu</w:t>
      </w:r>
      <w:proofErr w:type="spellEnd"/>
      <w:r>
        <w:rPr>
          <w:rFonts w:ascii="Calibri" w:hAnsi="Calibri" w:cs="Calibri"/>
        </w:rPr>
        <w:t>, musí být dostatečně adaptabilní na uživatelsky přívětivé prostředí. V opačném případě hrozí jejich nevyužití vedoucí až k možnému ukončení podpory vývoje daného doplňku.</w:t>
      </w:r>
    </w:p>
    <w:p w:rsidR="004331F4" w:rsidRDefault="00326878" w:rsidP="00326878">
      <w:pPr>
        <w:pStyle w:val="Nadpiskapitoly"/>
        <w:numPr>
          <w:ilvl w:val="0"/>
          <w:numId w:val="5"/>
        </w:numPr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lastRenderedPageBreak/>
        <w:t xml:space="preserve">Příklady z praxe – kooperace v LMS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Modelovým příkladem pracoviště využívajícímu </w:t>
      </w: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metody integrované v LMS je Fakulta logistiky a krizového řízení Univerzity Tomáše Bati ve Zlíně.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je zde využíván krátce (cca 2 roky), ale aktivně jsou v ročních intervalech aktualizovány verze a adaptovány kurzy na novou funkcionalitu LMS. Aby byly upgrady hladké, je eliminováno využití externích doplňků a potlačeny jsou i některé standardní moduly (např. modul workshopu). Závislost modulů na konfiguraci jiných komponent je tak minimalizována. </w:t>
      </w:r>
    </w:p>
    <w:p w:rsidR="004331F4" w:rsidRDefault="00326878">
      <w:pPr>
        <w:pStyle w:val="Textpspvku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nástroje jsou založeny na možnosti sdílení a slouží nejen pro pedagogickou činnost, ale pro management a správu projektů a pilotně i pro vytvoření koordinačního centra síťování škol zabývajících se přírodovědným a technickým vzděláváním ve Zlínském kraji (prostřednictvím modulu databáze). Struktura kurzů, využívajících pro zvýšení motivace studujících nově i odznaky, košatě reflektuje potřeby prezenčního, kombinovaného i celoživotního vzdělávání. Velkoryse nastavené velikostní limity pro práci se studijními materiály (až 800 MB na jeden nahraný soubor) sice některé uživatele podněcují k mylnému vnímání LMS jako Úschovny (</w:t>
      </w:r>
      <w:proofErr w:type="spellStart"/>
      <w:r>
        <w:rPr>
          <w:rFonts w:ascii="Calibri" w:hAnsi="Calibri" w:cs="Calibri"/>
        </w:rPr>
        <w:t>repozitáře</w:t>
      </w:r>
      <w:proofErr w:type="spellEnd"/>
      <w:r>
        <w:rPr>
          <w:rFonts w:ascii="Calibri" w:hAnsi="Calibri" w:cs="Calibri"/>
        </w:rPr>
        <w:t>, úložiště) velkých souborů, umožňují však i prezentaci rozsáhlejších projektů včetně datově objemných videí a záznamů z telekonferencí.</w:t>
      </w:r>
    </w:p>
    <w:p w:rsidR="004331F4" w:rsidRDefault="00326878" w:rsidP="00326878">
      <w:pPr>
        <w:pStyle w:val="Nadpiskapitoly"/>
        <w:numPr>
          <w:ilvl w:val="0"/>
          <w:numId w:val="5"/>
        </w:numPr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Závěr</w:t>
      </w:r>
    </w:p>
    <w:p w:rsidR="004331F4" w:rsidRDefault="0032687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S ohledem na dynamický vývoj a podporu globální komunity představuje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robustní nástroj pro </w:t>
      </w: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práci nejen v univerzitním prostředí. Množství rozšiřujících modulů znamená možnosti přizpůsobení LMS různými směry – od CMS přes IS, ERP až k CRM. Modularita však musí být založená na primárním respektování adaptačních nástrojů, kterými LMS umožní více motivovat uživatele k jeho nasazení a aktivnímu používání. Současná přidaná hodnota při </w:t>
      </w:r>
      <w:proofErr w:type="spellStart"/>
      <w:r>
        <w:rPr>
          <w:rFonts w:ascii="Calibri" w:hAnsi="Calibri" w:cs="Calibri"/>
        </w:rPr>
        <w:t>kolaborativní</w:t>
      </w:r>
      <w:proofErr w:type="spellEnd"/>
      <w:r>
        <w:rPr>
          <w:rFonts w:ascii="Calibri" w:hAnsi="Calibri" w:cs="Calibri"/>
        </w:rPr>
        <w:t xml:space="preserve"> práci totiž nemusí ležet v rovině technologických možností, ale v utilizaci nástrojů vhodně zapadajících do „modulární skládačky“ systému.</w:t>
      </w:r>
    </w:p>
    <w:p w:rsidR="004331F4" w:rsidRDefault="00326878">
      <w:pPr>
        <w:pStyle w:val="NadpisLiteratura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Literatura</w:t>
      </w:r>
    </w:p>
    <w:p w:rsidR="004331F4" w:rsidRDefault="00326878">
      <w:pPr>
        <w:pStyle w:val="Polokaliteratury"/>
        <w:numPr>
          <w:ilvl w:val="0"/>
          <w:numId w:val="2"/>
        </w:numPr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Dougiamas</w:t>
      </w:r>
      <w:proofErr w:type="spellEnd"/>
      <w:r>
        <w:rPr>
          <w:rFonts w:ascii="Calibri" w:hAnsi="Calibri" w:cs="Calibri"/>
          <w:sz w:val="24"/>
          <w:lang w:val="cs-CZ"/>
        </w:rPr>
        <w:t xml:space="preserve">, M. </w:t>
      </w:r>
      <w:proofErr w:type="spellStart"/>
      <w:r>
        <w:rPr>
          <w:rFonts w:ascii="Calibri" w:hAnsi="Calibri" w:cs="Calibri"/>
          <w:sz w:val="24"/>
          <w:lang w:val="cs-CZ"/>
        </w:rPr>
        <w:t>Improving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the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effectiveness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tools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for</w:t>
      </w:r>
      <w:proofErr w:type="spellEnd"/>
      <w:r>
        <w:rPr>
          <w:rFonts w:ascii="Calibri" w:hAnsi="Calibri" w:cs="Calibri"/>
          <w:sz w:val="24"/>
          <w:lang w:val="cs-CZ"/>
        </w:rPr>
        <w:t xml:space="preserve"> Internet </w:t>
      </w:r>
      <w:proofErr w:type="spellStart"/>
      <w:r>
        <w:rPr>
          <w:rFonts w:ascii="Calibri" w:hAnsi="Calibri" w:cs="Calibri"/>
          <w:sz w:val="24"/>
          <w:lang w:val="cs-CZ"/>
        </w:rPr>
        <w:t>based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education</w:t>
      </w:r>
      <w:proofErr w:type="spellEnd"/>
      <w:r>
        <w:rPr>
          <w:rFonts w:ascii="Calibri" w:hAnsi="Calibri" w:cs="Calibri"/>
          <w:sz w:val="24"/>
          <w:lang w:val="cs-CZ"/>
        </w:rPr>
        <w:t xml:space="preserve">. In: </w:t>
      </w:r>
      <w:proofErr w:type="spellStart"/>
      <w:r>
        <w:rPr>
          <w:rFonts w:ascii="Calibri" w:hAnsi="Calibri" w:cs="Calibri"/>
          <w:sz w:val="24"/>
          <w:lang w:val="cs-CZ"/>
        </w:rPr>
        <w:t>Herrmann</w:t>
      </w:r>
      <w:proofErr w:type="spellEnd"/>
      <w:r>
        <w:rPr>
          <w:rFonts w:ascii="Calibri" w:hAnsi="Calibri" w:cs="Calibri"/>
          <w:sz w:val="24"/>
          <w:lang w:val="cs-CZ"/>
        </w:rPr>
        <w:t xml:space="preserve"> A., </w:t>
      </w:r>
      <w:proofErr w:type="spellStart"/>
      <w:r>
        <w:rPr>
          <w:rFonts w:ascii="Calibri" w:hAnsi="Calibri" w:cs="Calibri"/>
          <w:sz w:val="24"/>
          <w:lang w:val="cs-CZ"/>
        </w:rPr>
        <w:t>Kulski</w:t>
      </w:r>
      <w:proofErr w:type="spellEnd"/>
      <w:r>
        <w:rPr>
          <w:rFonts w:ascii="Calibri" w:hAnsi="Calibri" w:cs="Calibri"/>
          <w:sz w:val="24"/>
          <w:lang w:val="cs-CZ"/>
        </w:rPr>
        <w:t xml:space="preserve"> M. M. (</w:t>
      </w:r>
      <w:proofErr w:type="spellStart"/>
      <w:r>
        <w:rPr>
          <w:rFonts w:ascii="Calibri" w:hAnsi="Calibri" w:cs="Calibri"/>
          <w:sz w:val="24"/>
          <w:lang w:val="cs-CZ"/>
        </w:rPr>
        <w:t>Eds</w:t>
      </w:r>
      <w:proofErr w:type="spellEnd"/>
      <w:r>
        <w:rPr>
          <w:rFonts w:ascii="Calibri" w:hAnsi="Calibri" w:cs="Calibri"/>
          <w:sz w:val="24"/>
          <w:lang w:val="cs-CZ"/>
        </w:rPr>
        <w:t xml:space="preserve">), </w:t>
      </w:r>
      <w:proofErr w:type="spellStart"/>
      <w:r>
        <w:rPr>
          <w:rFonts w:ascii="Calibri" w:hAnsi="Calibri" w:cs="Calibri"/>
          <w:sz w:val="24"/>
          <w:lang w:val="cs-CZ"/>
        </w:rPr>
        <w:t>Flexible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Futures</w:t>
      </w:r>
      <w:proofErr w:type="spellEnd"/>
      <w:r>
        <w:rPr>
          <w:rFonts w:ascii="Calibri" w:hAnsi="Calibri" w:cs="Calibri"/>
          <w:sz w:val="24"/>
          <w:lang w:val="cs-CZ"/>
        </w:rPr>
        <w:t xml:space="preserve"> in </w:t>
      </w:r>
      <w:proofErr w:type="spellStart"/>
      <w:r>
        <w:rPr>
          <w:rFonts w:ascii="Calibri" w:hAnsi="Calibri" w:cs="Calibri"/>
          <w:sz w:val="24"/>
          <w:lang w:val="cs-CZ"/>
        </w:rPr>
        <w:t>Tertiary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Teaching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. </w:t>
      </w:r>
      <w:proofErr w:type="spellStart"/>
      <w:r>
        <w:rPr>
          <w:rFonts w:ascii="Calibri" w:hAnsi="Calibri" w:cs="Calibri"/>
          <w:i/>
          <w:sz w:val="24"/>
          <w:lang w:val="cs-CZ"/>
        </w:rPr>
        <w:t>Proceedings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of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the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9th </w:t>
      </w:r>
      <w:proofErr w:type="spellStart"/>
      <w:r>
        <w:rPr>
          <w:rFonts w:ascii="Calibri" w:hAnsi="Calibri" w:cs="Calibri"/>
          <w:i/>
          <w:sz w:val="24"/>
          <w:lang w:val="cs-CZ"/>
        </w:rPr>
        <w:t>Annual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Teaching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Learning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Forum</w:t>
      </w:r>
      <w:proofErr w:type="spellEnd"/>
      <w:r>
        <w:rPr>
          <w:rFonts w:ascii="Calibri" w:hAnsi="Calibri" w:cs="Calibri"/>
          <w:sz w:val="24"/>
          <w:lang w:val="cs-CZ"/>
        </w:rPr>
        <w:t xml:space="preserve">, 2-4 </w:t>
      </w:r>
      <w:proofErr w:type="spellStart"/>
      <w:r>
        <w:rPr>
          <w:rFonts w:ascii="Calibri" w:hAnsi="Calibri" w:cs="Calibri"/>
          <w:sz w:val="24"/>
          <w:lang w:val="cs-CZ"/>
        </w:rPr>
        <w:t>February</w:t>
      </w:r>
      <w:proofErr w:type="spellEnd"/>
      <w:r>
        <w:rPr>
          <w:rFonts w:ascii="Calibri" w:hAnsi="Calibri" w:cs="Calibri"/>
          <w:sz w:val="24"/>
          <w:lang w:val="cs-CZ"/>
        </w:rPr>
        <w:t xml:space="preserve"> 2000. Perth: </w:t>
      </w:r>
      <w:proofErr w:type="spellStart"/>
      <w:r>
        <w:rPr>
          <w:rFonts w:ascii="Calibri" w:hAnsi="Calibri" w:cs="Calibri"/>
          <w:sz w:val="24"/>
          <w:lang w:val="cs-CZ"/>
        </w:rPr>
        <w:t>Curtin</w:t>
      </w:r>
      <w:proofErr w:type="spellEnd"/>
      <w:r>
        <w:rPr>
          <w:rFonts w:ascii="Calibri" w:hAnsi="Calibri" w:cs="Calibri"/>
          <w:sz w:val="24"/>
          <w:lang w:val="cs-CZ"/>
        </w:rPr>
        <w:t xml:space="preserve"> University </w:t>
      </w:r>
      <w:proofErr w:type="spellStart"/>
      <w:r>
        <w:rPr>
          <w:rFonts w:ascii="Calibri" w:hAnsi="Calibri" w:cs="Calibri"/>
          <w:sz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lang w:val="cs-CZ"/>
        </w:rPr>
        <w:t xml:space="preserve"> Technology. 2000.</w:t>
      </w:r>
    </w:p>
    <w:p w:rsidR="004331F4" w:rsidRDefault="00326878">
      <w:pPr>
        <w:pStyle w:val="Polokaliteratury"/>
        <w:numPr>
          <w:ilvl w:val="0"/>
          <w:numId w:val="2"/>
        </w:numPr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Hrtoňová</w:t>
      </w:r>
      <w:proofErr w:type="spellEnd"/>
      <w:r>
        <w:rPr>
          <w:rFonts w:ascii="Calibri" w:hAnsi="Calibri" w:cs="Calibri"/>
          <w:sz w:val="24"/>
          <w:lang w:val="cs-CZ"/>
        </w:rPr>
        <w:t xml:space="preserve">, N., Pokorná, A., Váňová, T. </w:t>
      </w:r>
      <w:proofErr w:type="spellStart"/>
      <w:r>
        <w:rPr>
          <w:rFonts w:ascii="Calibri" w:hAnsi="Calibri" w:cs="Calibri"/>
          <w:sz w:val="24"/>
          <w:lang w:val="cs-CZ"/>
        </w:rPr>
        <w:t>Moodle</w:t>
      </w:r>
      <w:proofErr w:type="spellEnd"/>
      <w:r>
        <w:rPr>
          <w:rFonts w:ascii="Calibri" w:hAnsi="Calibri" w:cs="Calibri"/>
          <w:sz w:val="24"/>
          <w:lang w:val="cs-CZ"/>
        </w:rPr>
        <w:t xml:space="preserve"> jako prostředí pro vedení projektů. </w:t>
      </w:r>
      <w:r>
        <w:rPr>
          <w:rFonts w:ascii="Calibri" w:hAnsi="Calibri" w:cs="Calibri"/>
          <w:i/>
          <w:sz w:val="24"/>
          <w:lang w:val="cs-CZ"/>
        </w:rPr>
        <w:t>Konference moodleMoot.cz.</w:t>
      </w:r>
      <w:r>
        <w:rPr>
          <w:rFonts w:ascii="Calibri" w:hAnsi="Calibri" w:cs="Calibri"/>
          <w:sz w:val="24"/>
          <w:lang w:val="cs-CZ"/>
        </w:rPr>
        <w:t xml:space="preserve"> VŠB v Ostravě: Ostrava. 2011. Přednáška (ústní sdělení).</w:t>
      </w:r>
    </w:p>
    <w:p w:rsidR="004331F4" w:rsidRDefault="00326878">
      <w:pPr>
        <w:pStyle w:val="Polokaliteratury"/>
        <w:numPr>
          <w:ilvl w:val="0"/>
          <w:numId w:val="2"/>
        </w:numPr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Prensky</w:t>
      </w:r>
      <w:proofErr w:type="spellEnd"/>
      <w:r>
        <w:rPr>
          <w:rFonts w:ascii="Calibri" w:hAnsi="Calibri" w:cs="Calibri"/>
          <w:sz w:val="24"/>
          <w:lang w:val="cs-CZ"/>
        </w:rPr>
        <w:t xml:space="preserve">, M. Digital </w:t>
      </w:r>
      <w:proofErr w:type="spellStart"/>
      <w:r>
        <w:rPr>
          <w:rFonts w:ascii="Calibri" w:hAnsi="Calibri" w:cs="Calibri"/>
          <w:sz w:val="24"/>
          <w:lang w:val="cs-CZ"/>
        </w:rPr>
        <w:t>Natives</w:t>
      </w:r>
      <w:proofErr w:type="spellEnd"/>
      <w:r>
        <w:rPr>
          <w:rFonts w:ascii="Calibri" w:hAnsi="Calibri" w:cs="Calibri"/>
          <w:sz w:val="24"/>
          <w:lang w:val="cs-CZ"/>
        </w:rPr>
        <w:t xml:space="preserve">, Digital </w:t>
      </w:r>
      <w:proofErr w:type="spellStart"/>
      <w:r>
        <w:rPr>
          <w:rFonts w:ascii="Calibri" w:hAnsi="Calibri" w:cs="Calibri"/>
          <w:sz w:val="24"/>
          <w:lang w:val="cs-CZ"/>
        </w:rPr>
        <w:t>Immigrants</w:t>
      </w:r>
      <w:proofErr w:type="spellEnd"/>
      <w:r>
        <w:rPr>
          <w:rFonts w:ascii="Calibri" w:hAnsi="Calibri" w:cs="Calibri"/>
          <w:sz w:val="24"/>
          <w:lang w:val="cs-CZ"/>
        </w:rPr>
        <w:t xml:space="preserve">. </w:t>
      </w:r>
      <w:r>
        <w:rPr>
          <w:rFonts w:ascii="Calibri" w:hAnsi="Calibri" w:cs="Calibri"/>
          <w:i/>
          <w:sz w:val="24"/>
          <w:lang w:val="cs-CZ"/>
        </w:rPr>
        <w:t xml:space="preserve">On </w:t>
      </w:r>
      <w:proofErr w:type="spellStart"/>
      <w:r>
        <w:rPr>
          <w:rFonts w:ascii="Calibri" w:hAnsi="Calibri" w:cs="Calibri"/>
          <w:i/>
          <w:sz w:val="24"/>
          <w:lang w:val="cs-CZ"/>
        </w:rPr>
        <w:t>the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Horizon</w:t>
      </w:r>
      <w:proofErr w:type="spellEnd"/>
      <w:r>
        <w:rPr>
          <w:rFonts w:ascii="Calibri" w:hAnsi="Calibri" w:cs="Calibri"/>
          <w:i/>
          <w:sz w:val="24"/>
          <w:lang w:val="cs-CZ"/>
        </w:rPr>
        <w:t>.</w:t>
      </w:r>
      <w:r>
        <w:rPr>
          <w:rFonts w:ascii="Calibri" w:hAnsi="Calibri" w:cs="Calibri"/>
          <w:sz w:val="24"/>
          <w:lang w:val="cs-CZ"/>
        </w:rPr>
        <w:t xml:space="preserve"> 2002, 9 (5). In </w:t>
      </w:r>
      <w:proofErr w:type="spellStart"/>
      <w:r>
        <w:rPr>
          <w:rFonts w:ascii="Calibri" w:hAnsi="Calibri" w:cs="Calibri"/>
          <w:sz w:val="24"/>
          <w:lang w:val="cs-CZ"/>
        </w:rPr>
        <w:t>digital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form</w:t>
      </w:r>
      <w:proofErr w:type="spellEnd"/>
      <w:r>
        <w:rPr>
          <w:rFonts w:ascii="Calibri" w:hAnsi="Calibri" w:cs="Calibri"/>
          <w:sz w:val="24"/>
          <w:lang w:val="cs-CZ"/>
        </w:rPr>
        <w:t xml:space="preserve">: [cit. 2012-1-7].  &lt;http://www.marcprensky.com/writing/Prensky%20-%20Digital%20Natives,%20Digital%20Immigrants%20-%20Part1.pdf&gt; </w:t>
      </w:r>
    </w:p>
    <w:p w:rsidR="004331F4" w:rsidRDefault="00326878">
      <w:pPr>
        <w:pStyle w:val="Polokaliteratury"/>
        <w:numPr>
          <w:ilvl w:val="0"/>
          <w:numId w:val="2"/>
        </w:numPr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lastRenderedPageBreak/>
        <w:t>Sigala</w:t>
      </w:r>
      <w:proofErr w:type="spellEnd"/>
      <w:r>
        <w:rPr>
          <w:rFonts w:ascii="Calibri" w:hAnsi="Calibri" w:cs="Calibri"/>
          <w:sz w:val="24"/>
          <w:lang w:val="cs-CZ"/>
        </w:rPr>
        <w:t xml:space="preserve">, M. </w:t>
      </w:r>
      <w:proofErr w:type="spellStart"/>
      <w:r>
        <w:rPr>
          <w:rFonts w:ascii="Calibri" w:hAnsi="Calibri" w:cs="Calibri"/>
          <w:sz w:val="24"/>
          <w:lang w:val="cs-CZ"/>
        </w:rPr>
        <w:t>The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evolution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lang w:val="cs-CZ"/>
        </w:rPr>
        <w:t xml:space="preserve"> internet pedagogy: </w:t>
      </w:r>
      <w:proofErr w:type="spellStart"/>
      <w:r>
        <w:rPr>
          <w:rFonts w:ascii="Calibri" w:hAnsi="Calibri" w:cs="Calibri"/>
          <w:sz w:val="24"/>
          <w:lang w:val="cs-CZ"/>
        </w:rPr>
        <w:t>Benefits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for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tourism</w:t>
      </w:r>
      <w:proofErr w:type="spellEnd"/>
      <w:r>
        <w:rPr>
          <w:rFonts w:ascii="Calibri" w:hAnsi="Calibri" w:cs="Calibri"/>
          <w:sz w:val="24"/>
          <w:lang w:val="cs-CZ"/>
        </w:rPr>
        <w:t xml:space="preserve"> and </w:t>
      </w:r>
      <w:proofErr w:type="spellStart"/>
      <w:r>
        <w:rPr>
          <w:rFonts w:ascii="Calibri" w:hAnsi="Calibri" w:cs="Calibri"/>
          <w:sz w:val="24"/>
          <w:lang w:val="cs-CZ"/>
        </w:rPr>
        <w:t>hospitality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education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. </w:t>
      </w:r>
      <w:proofErr w:type="spellStart"/>
      <w:r>
        <w:rPr>
          <w:rFonts w:ascii="Calibri" w:hAnsi="Calibri" w:cs="Calibri"/>
          <w:i/>
          <w:sz w:val="24"/>
          <w:lang w:val="cs-CZ"/>
        </w:rPr>
        <w:t>Journal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of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Hospitality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, </w:t>
      </w:r>
      <w:proofErr w:type="spellStart"/>
      <w:r>
        <w:rPr>
          <w:rFonts w:ascii="Calibri" w:hAnsi="Calibri" w:cs="Calibri"/>
          <w:i/>
          <w:sz w:val="24"/>
          <w:lang w:val="cs-CZ"/>
        </w:rPr>
        <w:t>Leisure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, Sport and </w:t>
      </w:r>
      <w:proofErr w:type="spellStart"/>
      <w:r>
        <w:rPr>
          <w:rFonts w:ascii="Calibri" w:hAnsi="Calibri" w:cs="Calibri"/>
          <w:i/>
          <w:sz w:val="24"/>
          <w:lang w:val="cs-CZ"/>
        </w:rPr>
        <w:t>Tourism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Education</w:t>
      </w:r>
      <w:proofErr w:type="spellEnd"/>
      <w:r>
        <w:rPr>
          <w:rFonts w:ascii="Calibri" w:hAnsi="Calibri" w:cs="Calibri"/>
          <w:sz w:val="24"/>
          <w:lang w:val="cs-CZ"/>
        </w:rPr>
        <w:t xml:space="preserve">, </w:t>
      </w:r>
      <w:proofErr w:type="gramStart"/>
      <w:r>
        <w:rPr>
          <w:rFonts w:ascii="Calibri" w:hAnsi="Calibri" w:cs="Calibri"/>
          <w:sz w:val="24"/>
          <w:lang w:val="cs-CZ"/>
        </w:rPr>
        <w:t>2002, 1 (2),  s.</w:t>
      </w:r>
      <w:proofErr w:type="gramEnd"/>
      <w:r>
        <w:rPr>
          <w:rFonts w:ascii="Calibri" w:hAnsi="Calibri" w:cs="Calibri"/>
          <w:sz w:val="24"/>
          <w:lang w:val="cs-CZ"/>
        </w:rPr>
        <w:t xml:space="preserve"> 29-45.</w:t>
      </w:r>
    </w:p>
    <w:p w:rsidR="004331F4" w:rsidRDefault="00326878">
      <w:pPr>
        <w:pStyle w:val="Polokaliteratury"/>
        <w:numPr>
          <w:ilvl w:val="0"/>
          <w:numId w:val="2"/>
        </w:numPr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 xml:space="preserve">Trávníček, J., Trojan, J. </w:t>
      </w:r>
      <w:proofErr w:type="spellStart"/>
      <w:r>
        <w:rPr>
          <w:rFonts w:ascii="Calibri" w:hAnsi="Calibri" w:cs="Calibri"/>
          <w:sz w:val="24"/>
          <w:lang w:val="cs-CZ"/>
        </w:rPr>
        <w:t>Kolaborativní</w:t>
      </w:r>
      <w:proofErr w:type="spellEnd"/>
      <w:r>
        <w:rPr>
          <w:rFonts w:ascii="Calibri" w:hAnsi="Calibri" w:cs="Calibri"/>
          <w:sz w:val="24"/>
          <w:lang w:val="cs-CZ"/>
        </w:rPr>
        <w:t xml:space="preserve"> tvorba publikací v cestovním ruchu prostřednictvím </w:t>
      </w:r>
      <w:proofErr w:type="spellStart"/>
      <w:r>
        <w:rPr>
          <w:rFonts w:ascii="Calibri" w:hAnsi="Calibri" w:cs="Calibri"/>
          <w:sz w:val="24"/>
          <w:lang w:val="cs-CZ"/>
        </w:rPr>
        <w:t>Learning</w:t>
      </w:r>
      <w:proofErr w:type="spellEnd"/>
      <w:r>
        <w:rPr>
          <w:rFonts w:ascii="Calibri" w:hAnsi="Calibri" w:cs="Calibri"/>
          <w:sz w:val="24"/>
          <w:lang w:val="cs-CZ"/>
        </w:rPr>
        <w:t xml:space="preserve"> Management </w:t>
      </w:r>
      <w:proofErr w:type="spellStart"/>
      <w:r>
        <w:rPr>
          <w:rFonts w:ascii="Calibri" w:hAnsi="Calibri" w:cs="Calibri"/>
          <w:sz w:val="24"/>
          <w:lang w:val="cs-CZ"/>
        </w:rPr>
        <w:t>System</w:t>
      </w:r>
      <w:proofErr w:type="spellEnd"/>
      <w:r>
        <w:rPr>
          <w:rFonts w:ascii="Calibri" w:hAnsi="Calibri" w:cs="Calibri"/>
          <w:sz w:val="24"/>
          <w:lang w:val="cs-CZ"/>
        </w:rPr>
        <w:t xml:space="preserve">. In </w:t>
      </w:r>
      <w:r>
        <w:rPr>
          <w:rFonts w:ascii="Calibri" w:hAnsi="Calibri" w:cs="Calibri"/>
          <w:i/>
          <w:sz w:val="24"/>
          <w:lang w:val="cs-CZ"/>
        </w:rPr>
        <w:t>Aktuální problémy cestovního ruchu. "Nové trendy a technologie v cestovním ruchu".</w:t>
      </w:r>
      <w:r>
        <w:rPr>
          <w:rFonts w:ascii="Calibri" w:hAnsi="Calibri" w:cs="Calibri"/>
          <w:sz w:val="24"/>
          <w:lang w:val="cs-CZ"/>
        </w:rPr>
        <w:t xml:space="preserve"> 1. vydání. Jihlava: Vysoká škola polytechnická Jihlava, 2012. s. 291-298, 340 s. ISBN 978-80-87035-56-6.</w:t>
      </w:r>
    </w:p>
    <w:p w:rsidR="004331F4" w:rsidRDefault="00326878">
      <w:pPr>
        <w:pStyle w:val="Polokaliteratury"/>
        <w:numPr>
          <w:ilvl w:val="0"/>
          <w:numId w:val="2"/>
        </w:numPr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 xml:space="preserve">Trojan, J., Trávníček, J., Jeřábek, T. </w:t>
      </w:r>
      <w:proofErr w:type="spellStart"/>
      <w:r>
        <w:rPr>
          <w:rFonts w:ascii="Calibri" w:hAnsi="Calibri" w:cs="Calibri"/>
          <w:sz w:val="24"/>
          <w:lang w:val="cs-CZ"/>
        </w:rPr>
        <w:t>Примеры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использования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передовых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информационных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технологий</w:t>
      </w:r>
      <w:proofErr w:type="spellEnd"/>
      <w:r>
        <w:rPr>
          <w:rFonts w:ascii="Calibri" w:hAnsi="Calibri" w:cs="Calibri"/>
          <w:sz w:val="24"/>
          <w:lang w:val="cs-CZ"/>
        </w:rPr>
        <w:t xml:space="preserve"> в </w:t>
      </w:r>
      <w:proofErr w:type="spellStart"/>
      <w:r>
        <w:rPr>
          <w:rFonts w:ascii="Calibri" w:hAnsi="Calibri" w:cs="Calibri"/>
          <w:sz w:val="24"/>
          <w:lang w:val="cs-CZ"/>
        </w:rPr>
        <w:t>современной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образовательной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практике</w:t>
      </w:r>
      <w:proofErr w:type="spellEnd"/>
      <w:r>
        <w:rPr>
          <w:rFonts w:ascii="Calibri" w:hAnsi="Calibri" w:cs="Calibri"/>
          <w:sz w:val="24"/>
          <w:lang w:val="cs-CZ"/>
        </w:rPr>
        <w:t xml:space="preserve">. </w:t>
      </w:r>
      <w:r>
        <w:rPr>
          <w:rFonts w:ascii="Calibri" w:hAnsi="Calibri" w:cs="Calibri"/>
          <w:i/>
          <w:sz w:val="24"/>
          <w:lang w:val="cs-CZ"/>
        </w:rPr>
        <w:t xml:space="preserve">Logos </w:t>
      </w:r>
      <w:proofErr w:type="spellStart"/>
      <w:r>
        <w:rPr>
          <w:rFonts w:ascii="Calibri" w:hAnsi="Calibri" w:cs="Calibri"/>
          <w:i/>
          <w:sz w:val="24"/>
          <w:lang w:val="cs-CZ"/>
        </w:rPr>
        <w:t>Polytechnikos</w:t>
      </w:r>
      <w:proofErr w:type="spellEnd"/>
      <w:r>
        <w:rPr>
          <w:rFonts w:ascii="Calibri" w:hAnsi="Calibri" w:cs="Calibri"/>
          <w:i/>
          <w:sz w:val="24"/>
          <w:lang w:val="cs-CZ"/>
        </w:rPr>
        <w:t>,</w:t>
      </w:r>
      <w:r>
        <w:rPr>
          <w:rFonts w:ascii="Calibri" w:hAnsi="Calibri" w:cs="Calibri"/>
          <w:sz w:val="24"/>
          <w:lang w:val="cs-CZ"/>
        </w:rPr>
        <w:t xml:space="preserve"> Jihlava: Vysoká škola polytechnická Jihlava, 2013, roč. 2013/4, č. 2, s. 62-73. ISSN 1804-3682.</w:t>
      </w:r>
    </w:p>
    <w:p w:rsidR="004331F4" w:rsidRDefault="00326878">
      <w:pPr>
        <w:pStyle w:val="NadpisLiteratura"/>
        <w:rPr>
          <w:rFonts w:ascii="Calibri" w:hAnsi="Calibri" w:cs="Calibri"/>
          <w:bCs w:val="0"/>
          <w:lang w:val="cs-CZ"/>
        </w:rPr>
      </w:pPr>
      <w:r>
        <w:rPr>
          <w:rFonts w:ascii="Calibri" w:hAnsi="Calibri" w:cs="Calibri"/>
          <w:bCs w:val="0"/>
          <w:lang w:val="cs-CZ"/>
        </w:rPr>
        <w:t>Informace o autorech</w:t>
      </w:r>
    </w:p>
    <w:p w:rsidR="004331F4" w:rsidRDefault="00C57702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  <w:bCs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088205B3" wp14:editId="7F216403">
            <wp:simplePos x="0" y="0"/>
            <wp:positionH relativeFrom="column">
              <wp:posOffset>2540</wp:posOffset>
            </wp:positionH>
            <wp:positionV relativeFrom="paragraph">
              <wp:posOffset>151130</wp:posOffset>
            </wp:positionV>
            <wp:extent cx="831600" cy="100800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www.gravatar.com/avatar/7f0627d8313ed940faf628bec5d4e5be?s=100&amp;d=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1F4" w:rsidRDefault="00C57702">
      <w:pPr>
        <w:pStyle w:val="NadpisLiteratura"/>
        <w:spacing w:before="0" w:after="120"/>
        <w:rPr>
          <w:rFonts w:ascii="Calibri" w:hAnsi="Calibri" w:cs="Calibri"/>
          <w:bCs w:val="0"/>
          <w:color w:val="000000"/>
          <w:sz w:val="20"/>
          <w:szCs w:val="20"/>
        </w:rPr>
      </w:pPr>
      <w:r>
        <w:rPr>
          <w:rFonts w:ascii="Calibri" w:hAnsi="Calibri" w:cs="Calibri"/>
          <w:bCs w:val="0"/>
          <w:sz w:val="18"/>
          <w:szCs w:val="18"/>
        </w:rPr>
        <w:t>Jakub Trojan</w:t>
      </w:r>
      <w:r w:rsidR="00326878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</w:p>
    <w:p w:rsidR="004331F4" w:rsidRDefault="0033699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+420 </w:t>
      </w:r>
      <w:r w:rsidRPr="00336990">
        <w:rPr>
          <w:rFonts w:ascii="Calibri" w:hAnsi="Calibri" w:cs="Calibri"/>
        </w:rPr>
        <w:t>576 038 068</w:t>
      </w:r>
    </w:p>
    <w:p w:rsidR="004331F4" w:rsidRDefault="00326878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="00C57702">
        <w:rPr>
          <w:rFonts w:ascii="Calibri" w:hAnsi="Calibri" w:cs="Calibri"/>
        </w:rPr>
        <w:t>trojan@flkr.utb.cz</w:t>
      </w:r>
    </w:p>
    <w:p w:rsidR="004331F4" w:rsidRDefault="00326878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Zastávaná funkce: </w:t>
      </w:r>
      <w:r w:rsidR="009A3406">
        <w:rPr>
          <w:rFonts w:ascii="Calibri" w:hAnsi="Calibri" w:cs="Calibri"/>
        </w:rPr>
        <w:t xml:space="preserve">akademický pracovník - </w:t>
      </w:r>
      <w:r>
        <w:rPr>
          <w:rFonts w:ascii="Calibri" w:hAnsi="Calibri" w:cs="Calibri"/>
        </w:rPr>
        <w:t>asistent</w:t>
      </w:r>
    </w:p>
    <w:p w:rsidR="004331F4" w:rsidRDefault="00326878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Název instituce: </w:t>
      </w:r>
      <w:r w:rsidR="00C57702">
        <w:rPr>
          <w:rFonts w:ascii="Calibri" w:hAnsi="Calibri" w:cs="Calibri"/>
        </w:rPr>
        <w:t>Fakulta logistiky a krizového řízení, Univerzita Tomáše Bati ve Zlíně, Studentské nám. 1532, 686 01 Uherské Hradiště</w:t>
      </w:r>
    </w:p>
    <w:p w:rsidR="004331F4" w:rsidRDefault="004331F4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4331F4" w:rsidRDefault="004331F4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4331F4" w:rsidRDefault="004331F4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4331F4" w:rsidRDefault="00C57702">
      <w:pPr>
        <w:pStyle w:val="Curriculum"/>
        <w:tabs>
          <w:tab w:val="left" w:pos="1560"/>
        </w:tabs>
        <w:spacing w:after="120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5A5FAE81" wp14:editId="23B6642E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830580" cy="1007745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bh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878">
        <w:rPr>
          <w:rFonts w:ascii="Calibri" w:hAnsi="Calibri" w:cs="Calibri"/>
          <w:b/>
          <w:sz w:val="20"/>
          <w:lang w:val="en-US"/>
        </w:rPr>
        <w:t>Jan Trávníček</w:t>
      </w:r>
    </w:p>
    <w:p w:rsidR="004331F4" w:rsidRDefault="00326878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Telefon: +420 543 420 821</w:t>
      </w:r>
    </w:p>
    <w:p w:rsidR="004331F4" w:rsidRDefault="00326878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Email: jan.travnicek@lipka.cz</w:t>
      </w:r>
    </w:p>
    <w:p w:rsidR="004331F4" w:rsidRDefault="00326878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Zastávaná funkce: projektový pracovník, správce e-</w:t>
      </w:r>
      <w:proofErr w:type="spellStart"/>
      <w:r>
        <w:rPr>
          <w:rFonts w:ascii="Calibri" w:hAnsi="Calibri" w:cs="Calibri"/>
        </w:rPr>
        <w:t>learningu</w:t>
      </w:r>
      <w:proofErr w:type="spellEnd"/>
    </w:p>
    <w:p w:rsidR="004331F4" w:rsidRPr="00C57702" w:rsidRDefault="00326878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C57702">
        <w:rPr>
          <w:rFonts w:ascii="Calibri" w:hAnsi="Calibri" w:cs="Calibri"/>
        </w:rPr>
        <w:t>Název instituce: Lipka – školské zařízení pro environmentální vzdělávání, Lipová 20, 602 00 Brno-Pisárky</w:t>
      </w:r>
    </w:p>
    <w:p w:rsidR="004331F4" w:rsidRDefault="004331F4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4331F4" w:rsidRDefault="004331F4">
      <w:pPr>
        <w:pStyle w:val="Curriculum"/>
        <w:tabs>
          <w:tab w:val="left" w:pos="1560"/>
        </w:tabs>
      </w:pPr>
    </w:p>
    <w:sectPr w:rsidR="004331F4">
      <w:pgSz w:w="11906" w:h="16838"/>
      <w:pgMar w:top="1701" w:right="1701" w:bottom="1701" w:left="1701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E2A"/>
    <w:multiLevelType w:val="hybridMultilevel"/>
    <w:tmpl w:val="61B4B016"/>
    <w:lvl w:ilvl="0" w:tplc="48CAC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3116"/>
    <w:multiLevelType w:val="multilevel"/>
    <w:tmpl w:val="8DCE9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852213"/>
    <w:multiLevelType w:val="hybridMultilevel"/>
    <w:tmpl w:val="7D361218"/>
    <w:lvl w:ilvl="0" w:tplc="2880418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6658"/>
    <w:multiLevelType w:val="multilevel"/>
    <w:tmpl w:val="0178A7DC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E73F13"/>
    <w:multiLevelType w:val="multilevel"/>
    <w:tmpl w:val="EBB4EE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1F4"/>
    <w:rsid w:val="00326878"/>
    <w:rsid w:val="00336990"/>
    <w:rsid w:val="004331F4"/>
    <w:rsid w:val="008F4882"/>
    <w:rsid w:val="0093042C"/>
    <w:rsid w:val="009A3406"/>
    <w:rsid w:val="00C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F523-CADB-4C3A-A087-8D3DF61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color w:val="00000A"/>
      <w:sz w:val="24"/>
      <w:szCs w:val="24"/>
      <w:lang w:eastAsia="ar-SA"/>
    </w:rPr>
  </w:style>
  <w:style w:type="paragraph" w:styleId="Nadpis3">
    <w:name w:val="heading 3"/>
    <w:basedOn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Nadpis"/>
    <w:pPr>
      <w:widowControl w:val="0"/>
      <w:outlineLvl w:val="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p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p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00000A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00000A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customStyle="1" w:styleId="Internetovodkaz">
    <w:name w:val="Internetový odkaz"/>
    <w:basedOn w:val="Standardnpsmoodstavce1"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draznn">
    <w:name w:val="Emphasis"/>
    <w:rPr>
      <w:i/>
      <w:iCs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ar-SA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 w:line="288" w:lineRule="auto"/>
    </w:pPr>
  </w:style>
  <w:style w:type="paragraph" w:styleId="Seznam">
    <w:name w:val="List"/>
    <w:basedOn w:val="Tlotextu"/>
    <w:rPr>
      <w:rFonts w:cs="Droid Sans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Droid Sans Devanagar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p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pPr>
      <w:keepLines/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</w:style>
  <w:style w:type="paragraph" w:customStyle="1" w:styleId="Polokaliteratury">
    <w:name w:val="Položka literatury"/>
    <w:basedOn w:val="Textpspvku"/>
    <w:p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7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5</Pages>
  <Words>1739</Words>
  <Characters>10261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 Text příspěvku</cp:keywords>
  <cp:lastModifiedBy>Jakub Trojan</cp:lastModifiedBy>
  <cp:revision>47</cp:revision>
  <cp:lastPrinted>2009-04-30T10:08:00Z</cp:lastPrinted>
  <dcterms:created xsi:type="dcterms:W3CDTF">2014-03-21T10:35:00Z</dcterms:created>
  <dcterms:modified xsi:type="dcterms:W3CDTF">2014-03-24T08:23:00Z</dcterms:modified>
  <dc:language>cs-CZ</dc:language>
</cp:coreProperties>
</file>